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75649F">
        <w:rPr>
          <w:rFonts w:ascii="Times New Roman" w:hAnsi="Times New Roman" w:cs="Times New Roman"/>
          <w:sz w:val="20"/>
          <w:szCs w:val="20"/>
          <w:lang w:val="kk-KZ"/>
        </w:rPr>
        <w:t>1</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w:t>
      </w:r>
      <w:r w:rsidR="0010265E">
        <w:rPr>
          <w:rFonts w:ascii="Times New Roman" w:hAnsi="Times New Roman" w:cs="Times New Roman"/>
          <w:sz w:val="20"/>
          <w:szCs w:val="20"/>
          <w:lang w:val="kk-KZ"/>
        </w:rPr>
        <w:t>и.о. директора Сагандыкова Г.Т.</w:t>
      </w:r>
      <w:r w:rsidRPr="00366556">
        <w:rPr>
          <w:rFonts w:ascii="Times New Roman" w:hAnsi="Times New Roman" w:cs="Times New Roman"/>
          <w:sz w:val="20"/>
          <w:szCs w:val="20"/>
          <w:lang w:val="kk-KZ"/>
        </w:rPr>
        <w:t>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Тұлғасында  екінші тараптан, </w:t>
      </w:r>
      <w:r w:rsidR="0010265E" w:rsidRPr="0010265E">
        <w:rPr>
          <w:sz w:val="20"/>
          <w:szCs w:val="20"/>
          <w:lang w:val="kk-KZ"/>
        </w:rPr>
        <w:t>Екінші жағынан, тегін медициналық көмектің кепілдік берілген көлемі және (немесе) міндетті медициналық көмектің кепілдік берілген көлемі және (немесе) міндетті әлеуметтік медициналық сақтандыру жүйесінде дәрі-дәрмектер, медициналық мақсаттағы бұйымдар мен мамандандырылған медициналық өнімдерді сатып алу және өткізу ережелері негізінде , фармацевтикалық қызметтер, Қазақстан Республикасы Үкіметінің қаулысымен мақұлданған, 2021 жылғы 4 маусымдағы № 375 (бұдан әрі - деп аталады)</w:t>
      </w:r>
      <w:r w:rsidRPr="00761A78">
        <w:rPr>
          <w:sz w:val="20"/>
          <w:szCs w:val="20"/>
          <w:lang w:val="kk-KZ"/>
        </w:rPr>
        <w:t xml:space="preserve">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lastRenderedPageBreak/>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 xml:space="preserve">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w:t>
      </w:r>
      <w:r w:rsidR="00C16BFE">
        <w:rPr>
          <w:spacing w:val="2"/>
          <w:sz w:val="20"/>
          <w:szCs w:val="20"/>
          <w:lang w:val="kk-KZ"/>
        </w:rPr>
        <w:t>Мира</w:t>
      </w:r>
      <w:r w:rsidR="00FC68D3" w:rsidRPr="00FC68D3">
        <w:rPr>
          <w:spacing w:val="2"/>
          <w:sz w:val="20"/>
          <w:szCs w:val="20"/>
          <w:lang w:val="kk-KZ"/>
        </w:rPr>
        <w:t xml:space="preserve"> к-сі, </w:t>
      </w:r>
      <w:r w:rsidR="00C16BFE">
        <w:rPr>
          <w:spacing w:val="2"/>
          <w:sz w:val="20"/>
          <w:szCs w:val="20"/>
          <w:lang w:val="kk-KZ"/>
        </w:rPr>
        <w:t>8</w:t>
      </w:r>
      <w:r w:rsidR="00FC68D3" w:rsidRPr="00FC68D3">
        <w:rPr>
          <w:spacing w:val="2"/>
          <w:sz w:val="20"/>
          <w:szCs w:val="20"/>
          <w:lang w:val="kk-KZ"/>
        </w:rPr>
        <w:t>.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 xml:space="preserve">Бұл кепілдік жарамды ішінде </w:t>
      </w:r>
      <w:r w:rsidR="000E01A9">
        <w:rPr>
          <w:spacing w:val="2"/>
          <w:sz w:val="20"/>
          <w:szCs w:val="20"/>
          <w:lang w:val="kk-KZ"/>
        </w:rPr>
        <w:t>37</w:t>
      </w:r>
      <w:r w:rsidR="00360F6C" w:rsidRPr="00360F6C">
        <w:rPr>
          <w:spacing w:val="2"/>
          <w:sz w:val="20"/>
          <w:szCs w:val="20"/>
          <w:lang w:val="kk-KZ"/>
        </w:rPr>
        <w:t xml:space="preserve">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 xml:space="preserve">-тармақтарында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w:t>
      </w:r>
      <w:r w:rsidRPr="002C0E36">
        <w:rPr>
          <w:spacing w:val="2"/>
          <w:sz w:val="20"/>
          <w:szCs w:val="20"/>
          <w:lang w:val="kk-KZ"/>
        </w:rPr>
        <w:lastRenderedPageBreak/>
        <w:t>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lastRenderedPageBreak/>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C16BFE" w:rsidP="00A83578">
            <w:pPr>
              <w:rPr>
                <w:rFonts w:ascii="Times New Roman" w:hAnsi="Times New Roman" w:cs="Times New Roman"/>
                <w:b/>
                <w:sz w:val="24"/>
                <w:szCs w:val="24"/>
                <w:lang w:val="kk-KZ"/>
              </w:rPr>
            </w:pPr>
            <w:r w:rsidRPr="00C16BFE">
              <w:rPr>
                <w:rFonts w:ascii="Times New Roman" w:hAnsi="Times New Roman" w:cs="Times New Roman"/>
                <w:b/>
                <w:sz w:val="24"/>
                <w:szCs w:val="24"/>
                <w:lang w:val="kk-KZ"/>
              </w:rPr>
              <w:t>Директорының м.а.</w:t>
            </w:r>
            <w:r w:rsidR="007658A9"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10265E" w:rsidRPr="0010265E">
              <w:rPr>
                <w:rFonts w:ascii="Times New Roman" w:hAnsi="Times New Roman" w:cs="Times New Roman"/>
                <w:b/>
                <w:sz w:val="24"/>
                <w:szCs w:val="24"/>
                <w:lang w:val="kk-KZ"/>
              </w:rPr>
              <w:t>Са</w:t>
            </w:r>
            <w:r>
              <w:rPr>
                <w:rFonts w:ascii="Times New Roman" w:hAnsi="Times New Roman" w:cs="Times New Roman"/>
                <w:b/>
                <w:sz w:val="24"/>
                <w:szCs w:val="24"/>
                <w:lang w:val="kk-KZ"/>
              </w:rPr>
              <w:t>ғ</w:t>
            </w:r>
            <w:r w:rsidR="0010265E" w:rsidRPr="0010265E">
              <w:rPr>
                <w:rFonts w:ascii="Times New Roman" w:hAnsi="Times New Roman" w:cs="Times New Roman"/>
                <w:b/>
                <w:sz w:val="24"/>
                <w:szCs w:val="24"/>
                <w:lang w:val="kk-KZ"/>
              </w:rPr>
              <w:t>анды</w:t>
            </w:r>
            <w:r>
              <w:rPr>
                <w:rFonts w:ascii="Times New Roman" w:hAnsi="Times New Roman" w:cs="Times New Roman"/>
                <w:b/>
                <w:sz w:val="24"/>
                <w:szCs w:val="24"/>
                <w:lang w:val="kk-KZ"/>
              </w:rPr>
              <w:t>қ</w:t>
            </w:r>
            <w:r w:rsidR="0010265E" w:rsidRPr="0010265E">
              <w:rPr>
                <w:rFonts w:ascii="Times New Roman" w:hAnsi="Times New Roman" w:cs="Times New Roman"/>
                <w:b/>
                <w:sz w:val="24"/>
                <w:szCs w:val="24"/>
                <w:lang w:val="kk-KZ"/>
              </w:rPr>
              <w:t>ова Г.Т.</w:t>
            </w:r>
            <w:r w:rsidR="00360F6C" w:rsidRPr="0010265E">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75649F">
              <w:rPr>
                <w:lang w:val="kk-KZ"/>
              </w:rPr>
              <w:t>1</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10265E"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C16BFE" w:rsidRPr="00C16BFE" w:rsidRDefault="00360F6C" w:rsidP="00C16BFE">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r w:rsidR="00C16BFE">
              <w:rPr>
                <w:lang w:val="kk-KZ"/>
              </w:rPr>
              <w:t xml:space="preserve">                               </w:t>
            </w:r>
            <w:r w:rsidR="00C16BFE" w:rsidRPr="00C16BFE">
              <w:rPr>
                <w:rFonts w:ascii="Times New Roman" w:hAnsi="Times New Roman" w:cs="Times New Roman"/>
                <w:b/>
                <w:sz w:val="24"/>
                <w:szCs w:val="24"/>
                <w:lang w:val="kk-KZ"/>
              </w:rPr>
              <w:t>Директорының м.а.</w:t>
            </w:r>
            <w:r w:rsidR="00C16BFE" w:rsidRPr="00346978">
              <w:rPr>
                <w:sz w:val="20"/>
                <w:szCs w:val="20"/>
                <w:lang w:val="kk-KZ"/>
              </w:rPr>
              <w:t xml:space="preserve"> </w:t>
            </w:r>
            <w:r w:rsidR="00C16BFE">
              <w:rPr>
                <w:rFonts w:ascii="Times New Roman" w:hAnsi="Times New Roman"/>
                <w:b/>
                <w:lang w:val="kk-KZ"/>
              </w:rPr>
              <w:t>____</w:t>
            </w:r>
            <w:r w:rsidR="00C16BFE">
              <w:rPr>
                <w:rFonts w:ascii="Times New Roman" w:hAnsi="Times New Roman" w:cs="Times New Roman"/>
                <w:sz w:val="20"/>
                <w:szCs w:val="20"/>
                <w:lang w:val="kk-KZ"/>
              </w:rPr>
              <w:t xml:space="preserve"> </w:t>
            </w:r>
            <w:r w:rsidR="00C16BFE" w:rsidRPr="0010265E">
              <w:rPr>
                <w:rFonts w:ascii="Times New Roman" w:hAnsi="Times New Roman" w:cs="Times New Roman"/>
                <w:b/>
                <w:sz w:val="24"/>
                <w:szCs w:val="24"/>
                <w:lang w:val="kk-KZ"/>
              </w:rPr>
              <w:t>Са</w:t>
            </w:r>
            <w:r w:rsidR="00C16BFE">
              <w:rPr>
                <w:rFonts w:ascii="Times New Roman" w:hAnsi="Times New Roman" w:cs="Times New Roman"/>
                <w:b/>
                <w:sz w:val="24"/>
                <w:szCs w:val="24"/>
                <w:lang w:val="kk-KZ"/>
              </w:rPr>
              <w:t>ғ</w:t>
            </w:r>
            <w:r w:rsidR="00C16BFE" w:rsidRPr="0010265E">
              <w:rPr>
                <w:rFonts w:ascii="Times New Roman" w:hAnsi="Times New Roman" w:cs="Times New Roman"/>
                <w:b/>
                <w:sz w:val="24"/>
                <w:szCs w:val="24"/>
                <w:lang w:val="kk-KZ"/>
              </w:rPr>
              <w:t>анды</w:t>
            </w:r>
            <w:r w:rsidR="00C16BFE">
              <w:rPr>
                <w:rFonts w:ascii="Times New Roman" w:hAnsi="Times New Roman" w:cs="Times New Roman"/>
                <w:b/>
                <w:sz w:val="24"/>
                <w:szCs w:val="24"/>
                <w:lang w:val="kk-KZ"/>
              </w:rPr>
              <w:t>қ</w:t>
            </w:r>
            <w:r w:rsidR="00C16BFE" w:rsidRPr="0010265E">
              <w:rPr>
                <w:rFonts w:ascii="Times New Roman" w:hAnsi="Times New Roman" w:cs="Times New Roman"/>
                <w:b/>
                <w:sz w:val="24"/>
                <w:szCs w:val="24"/>
                <w:lang w:val="kk-KZ"/>
              </w:rPr>
              <w:t xml:space="preserve">ова Г.Т. </w:t>
            </w:r>
            <w:r w:rsidR="00C16BFE" w:rsidRPr="00360F6C">
              <w:rPr>
                <w:rFonts w:ascii="Times New Roman" w:hAnsi="Times New Roman" w:cs="Times New Roman"/>
                <w:b/>
                <w:sz w:val="24"/>
                <w:szCs w:val="24"/>
                <w:lang w:val="kk-KZ"/>
              </w:rPr>
              <w:t xml:space="preserve"> </w:t>
            </w:r>
            <w:r w:rsidR="00C16BFE">
              <w:rPr>
                <w:rFonts w:ascii="Times New Roman" w:hAnsi="Times New Roman" w:cs="Times New Roman"/>
                <w:b/>
                <w:sz w:val="24"/>
                <w:szCs w:val="24"/>
                <w:lang w:val="kk-KZ"/>
              </w:rPr>
              <w:t xml:space="preserve">                             </w:t>
            </w:r>
            <w:r w:rsidR="00C16BFE"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75649F">
              <w:rPr>
                <w:lang w:val="kk-KZ"/>
              </w:rPr>
              <w:t>1</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e.mail</w:t>
            </w:r>
          </w:p>
          <w:p w:rsidR="007658A9" w:rsidRPr="0010265E"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C16BFE" w:rsidP="00C16BFE">
            <w:pPr>
              <w:rPr>
                <w:rFonts w:ascii="Times New Roman" w:hAnsi="Times New Roman" w:cs="Times New Roman"/>
                <w:b/>
                <w:sz w:val="24"/>
                <w:szCs w:val="24"/>
                <w:lang w:val="kk-KZ"/>
              </w:rPr>
            </w:pPr>
            <w:r w:rsidRPr="00C16BFE">
              <w:rPr>
                <w:rFonts w:ascii="Times New Roman" w:hAnsi="Times New Roman" w:cs="Times New Roman"/>
                <w:b/>
                <w:sz w:val="24"/>
                <w:szCs w:val="24"/>
                <w:lang w:val="kk-KZ"/>
              </w:rPr>
              <w:t>Директорының м.а.</w:t>
            </w:r>
            <w:r w:rsidRPr="00346978">
              <w:rPr>
                <w:sz w:val="20"/>
                <w:szCs w:val="20"/>
                <w:lang w:val="kk-KZ"/>
              </w:rPr>
              <w:t xml:space="preserve"> </w:t>
            </w:r>
            <w:r>
              <w:rPr>
                <w:rFonts w:ascii="Times New Roman" w:hAnsi="Times New Roman"/>
                <w:b/>
                <w:lang w:val="kk-KZ"/>
              </w:rPr>
              <w:t>____</w:t>
            </w:r>
            <w:r>
              <w:rPr>
                <w:rFonts w:ascii="Times New Roman" w:hAnsi="Times New Roman" w:cs="Times New Roman"/>
                <w:sz w:val="20"/>
                <w:szCs w:val="20"/>
                <w:lang w:val="kk-KZ"/>
              </w:rPr>
              <w:t xml:space="preserve"> </w:t>
            </w:r>
            <w:r w:rsidRPr="0010265E">
              <w:rPr>
                <w:rFonts w:ascii="Times New Roman" w:hAnsi="Times New Roman" w:cs="Times New Roman"/>
                <w:b/>
                <w:sz w:val="24"/>
                <w:szCs w:val="24"/>
                <w:lang w:val="kk-KZ"/>
              </w:rPr>
              <w:t>Са</w:t>
            </w:r>
            <w:r>
              <w:rPr>
                <w:rFonts w:ascii="Times New Roman" w:hAnsi="Times New Roman" w:cs="Times New Roman"/>
                <w:b/>
                <w:sz w:val="24"/>
                <w:szCs w:val="24"/>
                <w:lang w:val="kk-KZ"/>
              </w:rPr>
              <w:t>ғ</w:t>
            </w:r>
            <w:r w:rsidRPr="0010265E">
              <w:rPr>
                <w:rFonts w:ascii="Times New Roman" w:hAnsi="Times New Roman" w:cs="Times New Roman"/>
                <w:b/>
                <w:sz w:val="24"/>
                <w:szCs w:val="24"/>
                <w:lang w:val="kk-KZ"/>
              </w:rPr>
              <w:t>анды</w:t>
            </w:r>
            <w:r>
              <w:rPr>
                <w:rFonts w:ascii="Times New Roman" w:hAnsi="Times New Roman" w:cs="Times New Roman"/>
                <w:b/>
                <w:sz w:val="24"/>
                <w:szCs w:val="24"/>
                <w:lang w:val="kk-KZ"/>
              </w:rPr>
              <w:t>қ</w:t>
            </w:r>
            <w:r w:rsidRPr="0010265E">
              <w:rPr>
                <w:rFonts w:ascii="Times New Roman" w:hAnsi="Times New Roman" w:cs="Times New Roman"/>
                <w:b/>
                <w:sz w:val="24"/>
                <w:szCs w:val="24"/>
                <w:lang w:val="kk-KZ"/>
              </w:rPr>
              <w:t xml:space="preserve">ова Г.Т. </w:t>
            </w:r>
            <w:r w:rsidRPr="00360F6C">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A0244E">
              <w:rPr>
                <w:lang w:val="kk-KZ"/>
              </w:rPr>
              <w:t>1</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101272"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b/>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sidR="00101272">
        <w:rPr>
          <w:sz w:val="20"/>
          <w:szCs w:val="20"/>
        </w:rPr>
        <w:t>Мира</w:t>
      </w:r>
      <w:r>
        <w:rPr>
          <w:sz w:val="20"/>
          <w:szCs w:val="20"/>
        </w:rPr>
        <w:t xml:space="preserve">, </w:t>
      </w:r>
      <w:r w:rsidR="00101272">
        <w:rPr>
          <w:sz w:val="20"/>
          <w:szCs w:val="20"/>
        </w:rPr>
        <w:t>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sidR="00101272">
        <w:rPr>
          <w:sz w:val="20"/>
          <w:szCs w:val="20"/>
        </w:rPr>
        <w:t>7</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0E01A9">
        <w:rPr>
          <w:b/>
          <w:spacing w:val="2"/>
          <w:sz w:val="20"/>
          <w:szCs w:val="20"/>
          <w:u w:val="single"/>
        </w:rPr>
        <w:t>37</w:t>
      </w:r>
      <w:r w:rsidR="00360F6C" w:rsidRPr="00761A78">
        <w:rPr>
          <w:b/>
          <w:spacing w:val="2"/>
          <w:sz w:val="20"/>
          <w:szCs w:val="20"/>
          <w:u w:val="single"/>
        </w:rPr>
        <w:t xml:space="preserve">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0E01A9"/>
    <w:rsid w:val="00101272"/>
    <w:rsid w:val="0010265E"/>
    <w:rsid w:val="001101B9"/>
    <w:rsid w:val="00186BB9"/>
    <w:rsid w:val="00236756"/>
    <w:rsid w:val="002C0E36"/>
    <w:rsid w:val="00300337"/>
    <w:rsid w:val="003105F7"/>
    <w:rsid w:val="00360F6C"/>
    <w:rsid w:val="00366556"/>
    <w:rsid w:val="00375D01"/>
    <w:rsid w:val="003B01F1"/>
    <w:rsid w:val="00415B86"/>
    <w:rsid w:val="00435DC8"/>
    <w:rsid w:val="004C698F"/>
    <w:rsid w:val="004E61B8"/>
    <w:rsid w:val="00522D90"/>
    <w:rsid w:val="00546D76"/>
    <w:rsid w:val="005A5837"/>
    <w:rsid w:val="006E1527"/>
    <w:rsid w:val="0075649F"/>
    <w:rsid w:val="007658A9"/>
    <w:rsid w:val="007665FF"/>
    <w:rsid w:val="00794324"/>
    <w:rsid w:val="007B2AF0"/>
    <w:rsid w:val="007B3CFA"/>
    <w:rsid w:val="00804BB4"/>
    <w:rsid w:val="0083594D"/>
    <w:rsid w:val="008A66A0"/>
    <w:rsid w:val="009B220A"/>
    <w:rsid w:val="00A0244E"/>
    <w:rsid w:val="00A83578"/>
    <w:rsid w:val="00A90DB9"/>
    <w:rsid w:val="00B765E2"/>
    <w:rsid w:val="00C16BFE"/>
    <w:rsid w:val="00C33210"/>
    <w:rsid w:val="00C87E35"/>
    <w:rsid w:val="00CE01FA"/>
    <w:rsid w:val="00E637E6"/>
    <w:rsid w:val="00EC7DDA"/>
    <w:rsid w:val="00F51667"/>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1</Pages>
  <Words>7013</Words>
  <Characters>39977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33</cp:revision>
  <cp:lastPrinted>2021-11-12T06:38:00Z</cp:lastPrinted>
  <dcterms:created xsi:type="dcterms:W3CDTF">2019-11-25T05:27:00Z</dcterms:created>
  <dcterms:modified xsi:type="dcterms:W3CDTF">2021-11-12T06:39:00Z</dcterms:modified>
</cp:coreProperties>
</file>