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B93FE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>49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6F152C">
        <w:rPr>
          <w:caps w:val="0"/>
          <w:color w:val="000000"/>
          <w:sz w:val="28"/>
          <w:szCs w:val="28"/>
        </w:rPr>
        <w:t xml:space="preserve">медицинских изделий </w:t>
      </w:r>
      <w:r w:rsidR="00B61953">
        <w:rPr>
          <w:caps w:val="0"/>
          <w:color w:val="000000"/>
          <w:sz w:val="28"/>
          <w:szCs w:val="28"/>
        </w:rPr>
        <w:t xml:space="preserve">способом из одного источника </w:t>
      </w:r>
      <w:r w:rsidR="006F152C">
        <w:rPr>
          <w:caps w:val="0"/>
          <w:color w:val="000000"/>
          <w:sz w:val="28"/>
          <w:szCs w:val="28"/>
        </w:rPr>
        <w:t>на период до подведения итогов тендера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7415D" w:rsidRPr="00B61953">
        <w:rPr>
          <w:caps w:val="0"/>
          <w:sz w:val="28"/>
          <w:szCs w:val="28"/>
        </w:rPr>
        <w:t>1</w:t>
      </w:r>
      <w:r w:rsidR="006F152C" w:rsidRPr="00B61953">
        <w:rPr>
          <w:caps w:val="0"/>
          <w:sz w:val="28"/>
          <w:szCs w:val="28"/>
        </w:rPr>
        <w:t>4</w:t>
      </w:r>
      <w:r w:rsidR="00F81B39" w:rsidRPr="00B129CB">
        <w:rPr>
          <w:caps w:val="0"/>
          <w:sz w:val="28"/>
          <w:szCs w:val="28"/>
        </w:rPr>
        <w:t xml:space="preserve"> </w:t>
      </w:r>
      <w:r w:rsidR="006F152C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B93FEA" w:rsidRPr="00B93FEA" w:rsidRDefault="005D4CFB" w:rsidP="00B93FEA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B93FEA" w:rsidRPr="00B93FEA">
        <w:rPr>
          <w:sz w:val="28"/>
          <w:szCs w:val="28"/>
        </w:rPr>
        <w:t xml:space="preserve">согласно  п. </w:t>
      </w:r>
      <w:r w:rsidR="006F152C">
        <w:rPr>
          <w:sz w:val="28"/>
          <w:szCs w:val="28"/>
        </w:rPr>
        <w:t>105</w:t>
      </w:r>
      <w:r w:rsidR="00B61953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>п.п.3</w:t>
      </w:r>
      <w:r w:rsidR="00B93FEA" w:rsidRPr="00B93FEA">
        <w:rPr>
          <w:sz w:val="28"/>
          <w:szCs w:val="28"/>
        </w:rPr>
        <w:t xml:space="preserve"> Глава </w:t>
      </w:r>
      <w:r w:rsidR="006F152C">
        <w:rPr>
          <w:sz w:val="28"/>
          <w:szCs w:val="28"/>
        </w:rPr>
        <w:t>10,</w:t>
      </w:r>
      <w:r w:rsidR="006F152C" w:rsidRPr="006F152C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 xml:space="preserve">обоснование применения данного способа - </w:t>
      </w:r>
      <w:r w:rsidR="006F152C" w:rsidRPr="00F73471">
        <w:rPr>
          <w:sz w:val="28"/>
          <w:szCs w:val="28"/>
        </w:rPr>
        <w:t xml:space="preserve">имеется  потребность в </w:t>
      </w:r>
      <w:r w:rsidR="006F152C">
        <w:rPr>
          <w:sz w:val="28"/>
          <w:szCs w:val="28"/>
        </w:rPr>
        <w:t xml:space="preserve">осуществлении закупа </w:t>
      </w:r>
      <w:r w:rsidR="006F152C" w:rsidRPr="00F73471">
        <w:rPr>
          <w:sz w:val="28"/>
          <w:szCs w:val="28"/>
        </w:rPr>
        <w:t xml:space="preserve"> медицинских изделий  </w:t>
      </w:r>
      <w:r w:rsidR="006F152C">
        <w:rPr>
          <w:sz w:val="28"/>
          <w:szCs w:val="28"/>
        </w:rPr>
        <w:t xml:space="preserve"> на период до подведения итогов тендера заказчика. При осуществлении </w:t>
      </w:r>
      <w:r w:rsidR="006F152C" w:rsidRPr="00F73471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>закупа способом из одного источника заказчик  запрашивает документы согласно пункта 106 настоящих Правил</w:t>
      </w:r>
      <w:r w:rsidR="006F152C" w:rsidRPr="00F73471">
        <w:rPr>
          <w:sz w:val="28"/>
          <w:szCs w:val="28"/>
        </w:rPr>
        <w:t>.</w:t>
      </w:r>
      <w:r w:rsidR="006F152C">
        <w:rPr>
          <w:sz w:val="28"/>
          <w:szCs w:val="28"/>
        </w:rPr>
        <w:t xml:space="preserve"> </w:t>
      </w:r>
      <w:r w:rsidR="00B93FEA" w:rsidRPr="00B93FEA">
        <w:rPr>
          <w:sz w:val="28"/>
          <w:szCs w:val="28"/>
        </w:rPr>
        <w:t xml:space="preserve"> Постановления Правительства Республики Казахстан от </w:t>
      </w:r>
      <w:r w:rsidR="006F152C">
        <w:rPr>
          <w:sz w:val="28"/>
          <w:szCs w:val="28"/>
        </w:rPr>
        <w:t xml:space="preserve"> </w:t>
      </w:r>
      <w:r w:rsidR="00B93FEA" w:rsidRPr="00B93FEA">
        <w:rPr>
          <w:sz w:val="28"/>
          <w:szCs w:val="28"/>
        </w:rPr>
        <w:t>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6F152C">
        <w:rPr>
          <w:sz w:val="28"/>
          <w:szCs w:val="28"/>
        </w:rPr>
        <w:t xml:space="preserve"> и признании утратившими силу некоторых решений Правительства Республики Казахстан</w:t>
      </w:r>
      <w:r w:rsidR="00B93FEA" w:rsidRPr="00B93FEA">
        <w:rPr>
          <w:sz w:val="28"/>
          <w:szCs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850"/>
        <w:gridCol w:w="1276"/>
        <w:gridCol w:w="1418"/>
      </w:tblGrid>
      <w:tr w:rsidR="00EA1E9D" w:rsidRPr="008A091E" w:rsidTr="00B93FEA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F152C" w:rsidRPr="00B129CB" w:rsidTr="00B93FEA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глюкозы оксидазы R1, 1x125 ml + STD, 1x5 ml.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color w:val="000000"/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для биохимического автоматического анализатора </w:t>
            </w:r>
            <w:proofErr w:type="spellStart"/>
            <w:r w:rsidRPr="006F152C">
              <w:rPr>
                <w:sz w:val="16"/>
                <w:szCs w:val="16"/>
              </w:rPr>
              <w:t>BioChem</w:t>
            </w:r>
            <w:proofErr w:type="spellEnd"/>
            <w:r w:rsidRPr="006F152C">
              <w:rPr>
                <w:sz w:val="16"/>
                <w:szCs w:val="16"/>
              </w:rPr>
              <w:t xml:space="preserve"> FC-200.Метод: </w:t>
            </w:r>
            <w:proofErr w:type="spellStart"/>
            <w:r w:rsidRPr="006F152C">
              <w:rPr>
                <w:sz w:val="16"/>
                <w:szCs w:val="16"/>
              </w:rPr>
              <w:t>оксидазная</w:t>
            </w:r>
            <w:proofErr w:type="spellEnd"/>
            <w:r w:rsidRPr="006F152C">
              <w:rPr>
                <w:sz w:val="16"/>
                <w:szCs w:val="16"/>
              </w:rPr>
              <w:t>, конечная точка</w:t>
            </w:r>
            <w:r w:rsidRPr="006F152C">
              <w:rPr>
                <w:sz w:val="16"/>
                <w:szCs w:val="16"/>
              </w:rPr>
              <w:br/>
              <w:t xml:space="preserve">Состав основного реагента: </w:t>
            </w:r>
            <w:r w:rsidRPr="006F152C">
              <w:rPr>
                <w:sz w:val="16"/>
                <w:szCs w:val="16"/>
              </w:rPr>
              <w:br/>
            </w:r>
            <w:proofErr w:type="spellStart"/>
            <w:r w:rsidRPr="006F152C">
              <w:rPr>
                <w:sz w:val="16"/>
                <w:szCs w:val="16"/>
              </w:rPr>
              <w:t>Глюкозогексогиназа</w:t>
            </w:r>
            <w:proofErr w:type="spellEnd"/>
            <w:r w:rsidRPr="006F152C">
              <w:rPr>
                <w:sz w:val="16"/>
                <w:szCs w:val="16"/>
              </w:rPr>
              <w:t xml:space="preserve"> 15 </w:t>
            </w:r>
            <w:proofErr w:type="spellStart"/>
            <w:r w:rsidRPr="006F152C">
              <w:rPr>
                <w:sz w:val="16"/>
                <w:szCs w:val="16"/>
              </w:rPr>
              <w:t>Ед</w:t>
            </w:r>
            <w:proofErr w:type="spellEnd"/>
            <w:r w:rsidRPr="006F152C">
              <w:rPr>
                <w:sz w:val="16"/>
                <w:szCs w:val="16"/>
              </w:rPr>
              <w:t xml:space="preserve">/мл, </w:t>
            </w:r>
            <w:r w:rsidRPr="006F152C">
              <w:rPr>
                <w:sz w:val="16"/>
                <w:szCs w:val="16"/>
              </w:rPr>
              <w:br/>
            </w:r>
            <w:proofErr w:type="spellStart"/>
            <w:r w:rsidRPr="006F152C">
              <w:rPr>
                <w:sz w:val="16"/>
                <w:szCs w:val="16"/>
              </w:rPr>
              <w:t>Пероксидаза</w:t>
            </w:r>
            <w:proofErr w:type="spellEnd"/>
            <w:r w:rsidRPr="006F152C">
              <w:rPr>
                <w:sz w:val="16"/>
                <w:szCs w:val="16"/>
              </w:rPr>
              <w:t xml:space="preserve"> (лошадиная) 1,2 </w:t>
            </w:r>
            <w:proofErr w:type="spellStart"/>
            <w:r w:rsidRPr="006F152C">
              <w:rPr>
                <w:sz w:val="16"/>
                <w:szCs w:val="16"/>
              </w:rPr>
              <w:t>Ед</w:t>
            </w:r>
            <w:proofErr w:type="spellEnd"/>
            <w:r w:rsidRPr="006F152C">
              <w:rPr>
                <w:sz w:val="16"/>
                <w:szCs w:val="16"/>
              </w:rPr>
              <w:t xml:space="preserve">/мл, </w:t>
            </w:r>
            <w:r w:rsidRPr="006F152C">
              <w:rPr>
                <w:sz w:val="16"/>
                <w:szCs w:val="16"/>
              </w:rPr>
              <w:br/>
              <w:t xml:space="preserve">4-Аминоантипирин 0,2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 xml:space="preserve">/л, </w:t>
            </w:r>
            <w:r w:rsidRPr="006F152C">
              <w:rPr>
                <w:sz w:val="16"/>
                <w:szCs w:val="16"/>
              </w:rPr>
              <w:br/>
              <w:t xml:space="preserve">Фенол 4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 xml:space="preserve">/л, </w:t>
            </w:r>
            <w:r w:rsidRPr="006F152C">
              <w:rPr>
                <w:sz w:val="16"/>
                <w:szCs w:val="16"/>
              </w:rPr>
              <w:br/>
              <w:t>Инертные вещества и консерванты.</w:t>
            </w:r>
            <w:r w:rsidRPr="006F152C">
              <w:rPr>
                <w:sz w:val="16"/>
                <w:szCs w:val="16"/>
              </w:rPr>
              <w:br/>
              <w:t>Длина волны: 500 нм</w:t>
            </w:r>
            <w:r w:rsidRPr="006F152C">
              <w:rPr>
                <w:sz w:val="16"/>
                <w:szCs w:val="16"/>
              </w:rPr>
              <w:br/>
              <w:t xml:space="preserve">Длительность анализа: 15 минут </w:t>
            </w:r>
            <w:r w:rsidRPr="006F152C">
              <w:rPr>
                <w:sz w:val="16"/>
                <w:szCs w:val="16"/>
              </w:rPr>
              <w:br/>
              <w:t>Концентрация глюкозы в норме: 70 - 105 мг/дл</w:t>
            </w:r>
            <w:r w:rsidRPr="006F152C">
              <w:rPr>
                <w:sz w:val="16"/>
                <w:szCs w:val="16"/>
              </w:rPr>
              <w:br/>
              <w:t>Линейность: 0-500 мг/дл</w:t>
            </w:r>
            <w:r w:rsidRPr="006F152C">
              <w:rPr>
                <w:sz w:val="16"/>
                <w:szCs w:val="16"/>
              </w:rPr>
              <w:br/>
              <w:t>Фасовка:</w:t>
            </w:r>
            <w:r w:rsidRPr="006F152C">
              <w:rPr>
                <w:sz w:val="16"/>
                <w:szCs w:val="16"/>
              </w:rPr>
              <w:br/>
              <w:t>1x125 мл реагент</w:t>
            </w:r>
            <w:r w:rsidRPr="006F152C">
              <w:rPr>
                <w:sz w:val="16"/>
                <w:szCs w:val="16"/>
              </w:rPr>
              <w:br/>
              <w:t>1х 2 мл стандарт глюкозы,</w:t>
            </w:r>
            <w:r w:rsidRPr="006F152C">
              <w:rPr>
                <w:sz w:val="16"/>
                <w:szCs w:val="16"/>
              </w:rPr>
              <w:br/>
              <w:t xml:space="preserve">Реагенты </w:t>
            </w:r>
            <w:proofErr w:type="spellStart"/>
            <w:r w:rsidRPr="006F152C">
              <w:rPr>
                <w:sz w:val="16"/>
                <w:szCs w:val="16"/>
              </w:rPr>
              <w:t>предразведенные</w:t>
            </w:r>
            <w:proofErr w:type="spellEnd"/>
            <w:r w:rsidRPr="006F152C">
              <w:rPr>
                <w:sz w:val="16"/>
                <w:szCs w:val="16"/>
              </w:rPr>
              <w:t xml:space="preserve">, готовые к использованию. 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6F152C">
              <w:rPr>
                <w:sz w:val="16"/>
                <w:szCs w:val="16"/>
              </w:rPr>
              <w:t>Level</w:t>
            </w:r>
            <w:proofErr w:type="spellEnd"/>
            <w:r w:rsidRPr="006F152C">
              <w:rPr>
                <w:sz w:val="16"/>
                <w:szCs w:val="16"/>
              </w:rPr>
              <w:t xml:space="preserve"> 1*5 мл, </w:t>
            </w:r>
            <w:proofErr w:type="spellStart"/>
            <w:r w:rsidRPr="006F152C">
              <w:rPr>
                <w:sz w:val="16"/>
                <w:szCs w:val="16"/>
              </w:rPr>
              <w:t>Level</w:t>
            </w:r>
            <w:proofErr w:type="spellEnd"/>
            <w:r w:rsidRPr="006F152C">
              <w:rPr>
                <w:sz w:val="16"/>
                <w:szCs w:val="16"/>
              </w:rPr>
              <w:t xml:space="preserve"> 2*5мл, набор реагентов Биохимический </w:t>
            </w:r>
            <w:proofErr w:type="spellStart"/>
            <w:r w:rsidRPr="006F152C">
              <w:rPr>
                <w:sz w:val="16"/>
                <w:szCs w:val="16"/>
              </w:rPr>
              <w:t>мультикалибратор</w:t>
            </w:r>
            <w:proofErr w:type="spellEnd"/>
            <w:r w:rsidRPr="006F152C">
              <w:rPr>
                <w:sz w:val="16"/>
                <w:szCs w:val="16"/>
              </w:rPr>
              <w:t xml:space="preserve"> 1*5 мл, изготовлены одним производителем.</w:t>
            </w:r>
            <w:r w:rsidRPr="006F152C">
              <w:rPr>
                <w:sz w:val="16"/>
                <w:szCs w:val="16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18 810,00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37 620,00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холестерина R1, 1x125 ml + STD, 1x5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 для биохимического автоматического анализатора BioChem FC-200 Метод: Триндера, конечная точка</w:t>
            </w:r>
            <w:r w:rsidRPr="006F152C">
              <w:rPr>
                <w:sz w:val="16"/>
                <w:szCs w:val="16"/>
              </w:rPr>
              <w:br/>
              <w:t xml:space="preserve">Состав основного реагента: </w:t>
            </w:r>
            <w:r w:rsidRPr="006F152C">
              <w:rPr>
                <w:sz w:val="16"/>
                <w:szCs w:val="16"/>
              </w:rPr>
              <w:br/>
              <w:t xml:space="preserve">4-Аминоантипирин 0,6 ммоль/л, </w:t>
            </w:r>
            <w:r w:rsidRPr="006F152C">
              <w:rPr>
                <w:sz w:val="16"/>
                <w:szCs w:val="16"/>
              </w:rPr>
              <w:br/>
              <w:t xml:space="preserve">Холат натрия 8,0 ммоль/л, </w:t>
            </w:r>
            <w:r w:rsidRPr="006F152C">
              <w:rPr>
                <w:sz w:val="16"/>
                <w:szCs w:val="16"/>
              </w:rPr>
              <w:br/>
              <w:t xml:space="preserve">Эстераза холестерина ≥ 150 Ед/л, </w:t>
            </w:r>
            <w:r w:rsidRPr="006F152C">
              <w:rPr>
                <w:sz w:val="16"/>
                <w:szCs w:val="16"/>
              </w:rPr>
              <w:br/>
              <w:t xml:space="preserve">Оксидаза холестерина ≥ 150 Ед/л, </w:t>
            </w:r>
            <w:r w:rsidRPr="006F152C">
              <w:rPr>
                <w:sz w:val="16"/>
                <w:szCs w:val="16"/>
              </w:rPr>
              <w:br/>
              <w:t xml:space="preserve">Пероксидаза хрена ≥ 1,200 Ед/л, </w:t>
            </w:r>
            <w:r w:rsidRPr="006F152C">
              <w:rPr>
                <w:sz w:val="16"/>
                <w:szCs w:val="16"/>
              </w:rPr>
              <w:br/>
              <w:t xml:space="preserve">п-Гидроксибензолсульфонат 20 ммоль/л, </w:t>
            </w:r>
            <w:r w:rsidRPr="006F152C">
              <w:rPr>
                <w:sz w:val="16"/>
                <w:szCs w:val="16"/>
              </w:rPr>
              <w:br/>
              <w:t xml:space="preserve">Буфер, рН 6,8, 125 ммоль/л, </w:t>
            </w:r>
            <w:r w:rsidRPr="006F152C">
              <w:rPr>
                <w:sz w:val="16"/>
                <w:szCs w:val="16"/>
              </w:rPr>
              <w:br/>
              <w:t>инертные компоненты.</w:t>
            </w:r>
            <w:r w:rsidRPr="006F152C">
              <w:rPr>
                <w:sz w:val="16"/>
                <w:szCs w:val="16"/>
              </w:rPr>
              <w:br/>
              <w:t>Длина волны: 500 нм.</w:t>
            </w:r>
            <w:r w:rsidRPr="006F152C">
              <w:rPr>
                <w:sz w:val="16"/>
                <w:szCs w:val="16"/>
              </w:rPr>
              <w:br/>
              <w:t>Концентрация холестерина в норме: &lt; 200 мг/дл.</w:t>
            </w:r>
            <w:r w:rsidRPr="006F152C">
              <w:rPr>
                <w:sz w:val="16"/>
                <w:szCs w:val="16"/>
              </w:rPr>
              <w:br/>
              <w:t>Линейность: 0 - 700 мг/дл.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</w:r>
            <w:r w:rsidRPr="006F152C">
              <w:rPr>
                <w:sz w:val="16"/>
                <w:szCs w:val="16"/>
              </w:rPr>
              <w:lastRenderedPageBreak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lastRenderedPageBreak/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19 760,00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39 520,00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азота мочевины (BUN) R1, 1x125 ml + R2, 1x25 ml + STD, 1x5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FC-200.Тип пробы: сыворотка.</w:t>
            </w:r>
            <w:r w:rsidRPr="006F152C">
              <w:rPr>
                <w:sz w:val="16"/>
                <w:szCs w:val="16"/>
              </w:rPr>
              <w:br/>
              <w:t>Метод: уреазный/глутаматдегидрогеназный, кинетика.</w:t>
            </w:r>
            <w:r w:rsidRPr="006F152C">
              <w:rPr>
                <w:sz w:val="16"/>
                <w:szCs w:val="16"/>
              </w:rPr>
              <w:br/>
              <w:t xml:space="preserve">Химический состав реагента, раствора: </w:t>
            </w:r>
            <w:r w:rsidRPr="006F152C">
              <w:rPr>
                <w:sz w:val="16"/>
                <w:szCs w:val="16"/>
              </w:rPr>
              <w:br/>
              <w:t>Трис-буфер, рН 7,8 100 ммоль/л.</w:t>
            </w:r>
            <w:r w:rsidRPr="006F152C">
              <w:rPr>
                <w:sz w:val="16"/>
                <w:szCs w:val="16"/>
              </w:rPr>
              <w:br/>
              <w:t>2-Оксоглутарат 5 ммоль/л.</w:t>
            </w:r>
            <w:r w:rsidRPr="006F152C">
              <w:rPr>
                <w:sz w:val="16"/>
                <w:szCs w:val="16"/>
              </w:rPr>
              <w:br/>
              <w:t>АDP 0,6 ммоль/л.</w:t>
            </w:r>
            <w:r w:rsidRPr="006F152C">
              <w:rPr>
                <w:sz w:val="16"/>
                <w:szCs w:val="16"/>
              </w:rPr>
              <w:br/>
              <w:t>Уреаза&gt;20,000 Ед/л.</w:t>
            </w:r>
            <w:r w:rsidRPr="006F152C">
              <w:rPr>
                <w:sz w:val="16"/>
                <w:szCs w:val="16"/>
              </w:rPr>
              <w:br/>
              <w:t>ГлДГ&gt;1,500 Ед/л.</w:t>
            </w:r>
            <w:r w:rsidRPr="006F152C">
              <w:rPr>
                <w:sz w:val="16"/>
                <w:szCs w:val="16"/>
              </w:rPr>
              <w:br/>
              <w:t>NADH 0,25 ммоль/л.</w:t>
            </w:r>
            <w:r w:rsidRPr="006F152C">
              <w:rPr>
                <w:sz w:val="16"/>
                <w:szCs w:val="16"/>
              </w:rPr>
              <w:br/>
              <w:t>Длина волны: 340.</w:t>
            </w:r>
            <w:r w:rsidRPr="006F152C">
              <w:rPr>
                <w:sz w:val="16"/>
                <w:szCs w:val="16"/>
              </w:rPr>
              <w:br/>
              <w:t>Стабильность готового раствора, суток: 14.</w:t>
            </w:r>
            <w:r w:rsidRPr="006F152C">
              <w:rPr>
                <w:sz w:val="16"/>
                <w:szCs w:val="16"/>
              </w:rPr>
              <w:br/>
              <w:t>Линейность: 0-80 мг/дл (0-15 ммоль/л) для азота мочевины.</w:t>
            </w:r>
            <w:r w:rsidRPr="006F152C">
              <w:rPr>
                <w:sz w:val="16"/>
                <w:szCs w:val="16"/>
              </w:rPr>
              <w:br/>
              <w:t>0-150 мг/дл (0-28 ммоль/л) для мочевины.</w:t>
            </w:r>
            <w:r w:rsidRPr="006F152C">
              <w:rPr>
                <w:sz w:val="16"/>
                <w:szCs w:val="16"/>
              </w:rPr>
              <w:br/>
              <w:t>Чувствительность: 0,4 мМ/л мочевины.</w:t>
            </w:r>
            <w:r w:rsidRPr="006F152C">
              <w:rPr>
                <w:sz w:val="16"/>
                <w:szCs w:val="16"/>
              </w:rPr>
              <w:br/>
              <w:t>Состав набора: биреагент, стандарт.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24 180,00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48 360,00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Реакционные кюветы. Сегменты фотометрических кювет 160 шт/уп. </w:t>
            </w:r>
          </w:p>
          <w:p w:rsidR="006F152C" w:rsidRPr="006F152C" w:rsidRDefault="006F152C" w:rsidP="006F152C">
            <w:pPr>
              <w:pStyle w:val="a3"/>
              <w:rPr>
                <w:sz w:val="16"/>
                <w:szCs w:val="16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FC-200.Технические характеристики.</w:t>
            </w:r>
            <w:r w:rsidRPr="006F152C">
              <w:rPr>
                <w:sz w:val="16"/>
                <w:szCs w:val="16"/>
              </w:rPr>
              <w:br/>
              <w:t>Материал изготовления: пластик.</w:t>
            </w:r>
            <w:r w:rsidRPr="006F152C">
              <w:rPr>
                <w:sz w:val="16"/>
                <w:szCs w:val="16"/>
              </w:rPr>
              <w:br/>
              <w:t>Вес кюветы: 9,37гр.</w:t>
            </w:r>
            <w:r w:rsidRPr="006F152C">
              <w:rPr>
                <w:sz w:val="16"/>
                <w:szCs w:val="16"/>
              </w:rPr>
              <w:br/>
              <w:t>Вид кювет: Соединены по 9 штук.</w:t>
            </w:r>
            <w:r w:rsidRPr="006F152C">
              <w:rPr>
                <w:sz w:val="16"/>
                <w:szCs w:val="16"/>
              </w:rPr>
              <w:br/>
              <w:t>Размеры блока кювет (выс* длина * ширина): 37 * 7 * 7 мм.</w:t>
            </w:r>
            <w:r w:rsidRPr="006F152C">
              <w:rPr>
                <w:sz w:val="16"/>
                <w:szCs w:val="16"/>
              </w:rPr>
              <w:br/>
              <w:t>Количество штук в упаковке: 160. Кюветы снабжены специальными чип картами для считывания количества используемых кювет.</w:t>
            </w:r>
          </w:p>
          <w:p w:rsidR="006F152C" w:rsidRPr="006F152C" w:rsidRDefault="006F152C" w:rsidP="006F152C">
            <w:pPr>
              <w:pStyle w:val="a3"/>
              <w:rPr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124 850,00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124 850,00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амилазы R1, 1x125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. для биохимического автоматического анализатора </w:t>
            </w:r>
            <w:proofErr w:type="spellStart"/>
            <w:r w:rsidRPr="006F152C">
              <w:rPr>
                <w:sz w:val="16"/>
                <w:szCs w:val="16"/>
              </w:rPr>
              <w:t>BioChem</w:t>
            </w:r>
            <w:proofErr w:type="spellEnd"/>
            <w:r w:rsidRPr="006F152C">
              <w:rPr>
                <w:sz w:val="16"/>
                <w:szCs w:val="16"/>
              </w:rPr>
              <w:t xml:space="preserve"> FC-200.Состав набора.</w:t>
            </w:r>
            <w:r w:rsidRPr="006F152C">
              <w:rPr>
                <w:sz w:val="16"/>
                <w:szCs w:val="16"/>
              </w:rPr>
              <w:br/>
              <w:t xml:space="preserve">Буфер MES 100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 xml:space="preserve">/л, </w:t>
            </w:r>
            <w:proofErr w:type="spellStart"/>
            <w:r w:rsidRPr="006F152C">
              <w:rPr>
                <w:sz w:val="16"/>
                <w:szCs w:val="16"/>
              </w:rPr>
              <w:t>pH</w:t>
            </w:r>
            <w:proofErr w:type="spellEnd"/>
            <w:r w:rsidRPr="006F152C">
              <w:rPr>
                <w:sz w:val="16"/>
                <w:szCs w:val="16"/>
              </w:rPr>
              <w:t xml:space="preserve"> 6,0</w:t>
            </w:r>
            <w:r w:rsidRPr="006F152C">
              <w:rPr>
                <w:sz w:val="16"/>
                <w:szCs w:val="16"/>
              </w:rPr>
              <w:br/>
              <w:t xml:space="preserve">2-хлор-4-нитрофенил-α-D-мальтотриозид 2,25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>/л</w:t>
            </w:r>
            <w:r w:rsidRPr="006F152C">
              <w:rPr>
                <w:sz w:val="16"/>
                <w:szCs w:val="16"/>
              </w:rPr>
              <w:br/>
              <w:t xml:space="preserve">Хлорид натрия 350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>/л</w:t>
            </w:r>
            <w:r w:rsidRPr="006F152C">
              <w:rPr>
                <w:sz w:val="16"/>
                <w:szCs w:val="16"/>
              </w:rPr>
              <w:br/>
              <w:t xml:space="preserve">Ацетат кальция 6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>/л</w:t>
            </w:r>
            <w:r w:rsidRPr="006F152C">
              <w:rPr>
                <w:sz w:val="16"/>
                <w:szCs w:val="16"/>
              </w:rPr>
              <w:br/>
            </w:r>
            <w:proofErr w:type="spellStart"/>
            <w:r w:rsidRPr="006F152C">
              <w:rPr>
                <w:sz w:val="16"/>
                <w:szCs w:val="16"/>
              </w:rPr>
              <w:t>Тиоцианид</w:t>
            </w:r>
            <w:proofErr w:type="spellEnd"/>
            <w:r w:rsidRPr="006F152C">
              <w:rPr>
                <w:sz w:val="16"/>
                <w:szCs w:val="16"/>
              </w:rPr>
              <w:t xml:space="preserve"> калия 900 </w:t>
            </w:r>
            <w:proofErr w:type="spellStart"/>
            <w:r w:rsidRPr="006F152C">
              <w:rPr>
                <w:sz w:val="16"/>
                <w:szCs w:val="16"/>
              </w:rPr>
              <w:t>ммоль</w:t>
            </w:r>
            <w:proofErr w:type="spellEnd"/>
            <w:r w:rsidRPr="006F152C">
              <w:rPr>
                <w:sz w:val="16"/>
                <w:szCs w:val="16"/>
              </w:rPr>
              <w:t>/л</w:t>
            </w:r>
            <w:r w:rsidRPr="006F152C">
              <w:rPr>
                <w:sz w:val="16"/>
                <w:szCs w:val="16"/>
              </w:rPr>
              <w:br/>
              <w:t>Азид натрия 0,95 г/л</w:t>
            </w:r>
            <w:r w:rsidRPr="006F152C">
              <w:rPr>
                <w:sz w:val="16"/>
                <w:szCs w:val="16"/>
              </w:rPr>
              <w:br/>
              <w:t>Хранение и стабильность реагента</w:t>
            </w:r>
            <w:r w:rsidRPr="006F152C">
              <w:rPr>
                <w:sz w:val="16"/>
                <w:szCs w:val="16"/>
              </w:rPr>
              <w:br/>
              <w:t>Реагент HTI α -амилазы стабилен в течение всего срока годности.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6F152C">
              <w:rPr>
                <w:sz w:val="16"/>
                <w:szCs w:val="16"/>
              </w:rPr>
              <w:t>Level</w:t>
            </w:r>
            <w:proofErr w:type="spellEnd"/>
            <w:r w:rsidRPr="006F152C">
              <w:rPr>
                <w:sz w:val="16"/>
                <w:szCs w:val="16"/>
              </w:rPr>
              <w:t xml:space="preserve"> 1*5 мл, </w:t>
            </w:r>
            <w:proofErr w:type="spellStart"/>
            <w:r w:rsidRPr="006F152C">
              <w:rPr>
                <w:sz w:val="16"/>
                <w:szCs w:val="16"/>
              </w:rPr>
              <w:t>Level</w:t>
            </w:r>
            <w:proofErr w:type="spellEnd"/>
            <w:r w:rsidRPr="006F152C">
              <w:rPr>
                <w:sz w:val="16"/>
                <w:szCs w:val="16"/>
              </w:rPr>
              <w:t xml:space="preserve"> 2*5мл, набор реагентов Биохимический </w:t>
            </w:r>
            <w:proofErr w:type="spellStart"/>
            <w:r w:rsidRPr="006F152C">
              <w:rPr>
                <w:sz w:val="16"/>
                <w:szCs w:val="16"/>
              </w:rPr>
              <w:t>мультикалибратор</w:t>
            </w:r>
            <w:proofErr w:type="spellEnd"/>
            <w:r w:rsidRPr="006F152C">
              <w:rPr>
                <w:sz w:val="16"/>
                <w:szCs w:val="16"/>
              </w:rPr>
              <w:t xml:space="preserve"> 1*5 мл, изготовлены одним производителем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96 850,00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96 850,00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триглицеридов R1, 1х125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FC-200.Метод: Триндера, конечная точка</w:t>
            </w:r>
            <w:r w:rsidRPr="006F152C">
              <w:rPr>
                <w:sz w:val="16"/>
                <w:szCs w:val="16"/>
              </w:rPr>
              <w:br/>
              <w:t xml:space="preserve">Состав основного реагента: </w:t>
            </w:r>
            <w:r w:rsidRPr="006F152C">
              <w:rPr>
                <w:sz w:val="16"/>
                <w:szCs w:val="16"/>
              </w:rPr>
              <w:br/>
              <w:t xml:space="preserve">АТР 0.5 ммоль/л, </w:t>
            </w:r>
            <w:r w:rsidRPr="006F152C">
              <w:rPr>
                <w:sz w:val="16"/>
                <w:szCs w:val="16"/>
              </w:rPr>
              <w:br/>
              <w:t xml:space="preserve">Ацетат магния 12 ммоль/л, </w:t>
            </w:r>
            <w:r w:rsidRPr="006F152C">
              <w:rPr>
                <w:sz w:val="16"/>
                <w:szCs w:val="16"/>
              </w:rPr>
              <w:br/>
              <w:t xml:space="preserve">4-Хлорфенол 3.5 ммоль/л, </w:t>
            </w:r>
            <w:r w:rsidRPr="006F152C">
              <w:rPr>
                <w:sz w:val="16"/>
                <w:szCs w:val="16"/>
              </w:rPr>
              <w:br/>
              <w:t xml:space="preserve">4-Аминофеназон 0.3 ммоль/л, </w:t>
            </w:r>
            <w:r w:rsidRPr="006F152C">
              <w:rPr>
                <w:sz w:val="16"/>
                <w:szCs w:val="16"/>
              </w:rPr>
              <w:br/>
              <w:t xml:space="preserve">Глицерин фосфат оксидаза &gt; 4500 Ед/л, </w:t>
            </w:r>
            <w:r w:rsidRPr="006F152C">
              <w:rPr>
                <w:sz w:val="16"/>
                <w:szCs w:val="16"/>
              </w:rPr>
              <w:br/>
              <w:t xml:space="preserve">Липаза &gt; 200,000 Ед/л, </w:t>
            </w:r>
            <w:r w:rsidRPr="006F152C">
              <w:rPr>
                <w:sz w:val="16"/>
                <w:szCs w:val="16"/>
              </w:rPr>
              <w:br/>
              <w:t xml:space="preserve">Глицерокиназа&gt; 250 Ед/л, </w:t>
            </w:r>
            <w:r w:rsidRPr="006F152C">
              <w:rPr>
                <w:sz w:val="16"/>
                <w:szCs w:val="16"/>
              </w:rPr>
              <w:br/>
              <w:t xml:space="preserve">Пероксидаза&gt; 2,000 Ед/л, </w:t>
            </w:r>
            <w:r w:rsidRPr="006F152C">
              <w:rPr>
                <w:sz w:val="16"/>
                <w:szCs w:val="16"/>
              </w:rPr>
              <w:br/>
              <w:t xml:space="preserve">Буфер (рН 7.4) 50 ммоль/л, </w:t>
            </w:r>
            <w:r w:rsidRPr="006F152C">
              <w:rPr>
                <w:sz w:val="16"/>
                <w:szCs w:val="16"/>
              </w:rPr>
              <w:br/>
              <w:t>сурфактанты, стабилизаторы и консерванты.</w:t>
            </w:r>
            <w:r w:rsidRPr="006F152C">
              <w:rPr>
                <w:sz w:val="16"/>
                <w:szCs w:val="16"/>
              </w:rPr>
              <w:br/>
              <w:t>Длина волны: 520 нм</w:t>
            </w:r>
            <w:r w:rsidRPr="006F152C">
              <w:rPr>
                <w:sz w:val="16"/>
                <w:szCs w:val="16"/>
              </w:rPr>
              <w:br/>
              <w:t>Длительность анализа: 9 минут</w:t>
            </w:r>
            <w:r w:rsidRPr="006F152C">
              <w:rPr>
                <w:sz w:val="16"/>
                <w:szCs w:val="16"/>
              </w:rPr>
              <w:br/>
              <w:t>Концентрация триглицеридов в норме: 44 - 148 мг/дл (0,50-1,67 ммоль/л)</w:t>
            </w:r>
            <w:r w:rsidRPr="006F152C">
              <w:rPr>
                <w:sz w:val="16"/>
                <w:szCs w:val="16"/>
              </w:rPr>
              <w:br/>
              <w:t>Линейность: 0-1000 мг/дл (0-11,3 ммоль/л).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</w:t>
            </w:r>
            <w:r w:rsidRPr="006F152C">
              <w:rPr>
                <w:sz w:val="16"/>
                <w:szCs w:val="16"/>
              </w:rPr>
              <w:lastRenderedPageBreak/>
              <w:t>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lastRenderedPageBreak/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32 800,00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32 800,00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аспарагинаминотрансферазы (AST или SGOT) R1, 1x120 ml + R2, 1x30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FC-200.Тип пробы: сыворотка.</w:t>
            </w:r>
            <w:r w:rsidRPr="006F152C">
              <w:rPr>
                <w:sz w:val="16"/>
                <w:szCs w:val="16"/>
              </w:rPr>
              <w:br/>
              <w:t>Метод: ферментативный, кинетика.</w:t>
            </w:r>
            <w:r w:rsidRPr="006F152C">
              <w:rPr>
                <w:sz w:val="16"/>
                <w:szCs w:val="16"/>
              </w:rPr>
              <w:br/>
              <w:t>Химический состав реагента: L-Аспартат 240 ммоль/л</w:t>
            </w:r>
            <w:r w:rsidRPr="006F152C">
              <w:rPr>
                <w:sz w:val="16"/>
                <w:szCs w:val="16"/>
              </w:rPr>
              <w:br/>
              <w:t>МДГ (мышцы свиньи) &gt;600 Ед/л</w:t>
            </w:r>
            <w:r w:rsidRPr="006F152C">
              <w:rPr>
                <w:sz w:val="16"/>
                <w:szCs w:val="16"/>
              </w:rPr>
              <w:br/>
              <w:t>ЛДГ (мышцы кролика) &gt;600 Ед/л</w:t>
            </w:r>
            <w:r w:rsidRPr="006F152C">
              <w:rPr>
                <w:sz w:val="16"/>
                <w:szCs w:val="16"/>
              </w:rPr>
              <w:br/>
              <w:t>Трис-буфер, рН 7,5 80ммоль/л</w:t>
            </w:r>
            <w:r w:rsidRPr="006F152C">
              <w:rPr>
                <w:sz w:val="16"/>
                <w:szCs w:val="16"/>
              </w:rPr>
              <w:br/>
              <w:t>2-Оксоглутарат 12 ммоль/л</w:t>
            </w:r>
            <w:r w:rsidRPr="006F152C">
              <w:rPr>
                <w:sz w:val="16"/>
                <w:szCs w:val="16"/>
              </w:rPr>
              <w:br/>
              <w:t>NADH 0,18 ммоль/л.</w:t>
            </w:r>
            <w:r w:rsidRPr="006F152C">
              <w:rPr>
                <w:sz w:val="16"/>
                <w:szCs w:val="16"/>
              </w:rPr>
              <w:br/>
              <w:t>Длина волны: 340.</w:t>
            </w:r>
            <w:r w:rsidRPr="006F152C">
              <w:rPr>
                <w:sz w:val="16"/>
                <w:szCs w:val="16"/>
              </w:rPr>
              <w:br/>
              <w:t>Стабильность готового раствора, суток: 21.</w:t>
            </w:r>
            <w:r w:rsidRPr="006F152C">
              <w:rPr>
                <w:sz w:val="16"/>
                <w:szCs w:val="16"/>
              </w:rPr>
              <w:br/>
              <w:t>Линейность: 0-500 Ед/л.</w:t>
            </w:r>
            <w:r w:rsidRPr="006F152C">
              <w:rPr>
                <w:sz w:val="16"/>
                <w:szCs w:val="16"/>
              </w:rPr>
              <w:br/>
              <w:t>Чувствительность: 2,65 Ед/л.</w:t>
            </w:r>
            <w:r w:rsidRPr="006F152C">
              <w:rPr>
                <w:sz w:val="16"/>
                <w:szCs w:val="16"/>
              </w:rPr>
              <w:br/>
              <w:t>CV, %: 4,19.</w:t>
            </w:r>
            <w:r w:rsidRPr="006F152C">
              <w:rPr>
                <w:sz w:val="16"/>
                <w:szCs w:val="16"/>
              </w:rPr>
              <w:br/>
              <w:t>Состав набора: биреагент.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26 110,00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52 220,00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креатинина Пикриновая кислота (со стандартом) (Пикриновая кислота 1-1*125 ml + Буфер 1*125 ml + Стандарт 1*5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для биохимического автоматического анализатора BioChem FC-200.. Состав основных реагентов: </w:t>
            </w:r>
            <w:r w:rsidRPr="006F152C">
              <w:rPr>
                <w:sz w:val="16"/>
                <w:szCs w:val="16"/>
              </w:rPr>
              <w:br/>
              <w:t>1. Реагент пикриновой кислоты: раствор, содержащий 10 мМ пикриновой кислоты.</w:t>
            </w:r>
            <w:r w:rsidRPr="006F152C">
              <w:rPr>
                <w:sz w:val="16"/>
                <w:szCs w:val="16"/>
              </w:rPr>
              <w:br/>
              <w:t>2. Буфер Натрия гидроксид: раствор, содержащий 10 мМ бората натрия, 240 мМ гидроксида натрия.</w:t>
            </w:r>
            <w:r w:rsidRPr="006F152C">
              <w:rPr>
                <w:sz w:val="16"/>
                <w:szCs w:val="16"/>
              </w:rPr>
              <w:br/>
              <w:t>3. Стандарт креатинина (5 мг/дл): раствор содержит креатинин в соляной кислоте в присутствии консервантов.</w:t>
            </w:r>
            <w:r w:rsidRPr="006F152C">
              <w:rPr>
                <w:sz w:val="16"/>
                <w:szCs w:val="16"/>
              </w:rPr>
              <w:br/>
              <w:t>Длина волны: 510 нм.</w:t>
            </w:r>
            <w:r w:rsidRPr="006F152C">
              <w:rPr>
                <w:sz w:val="16"/>
                <w:szCs w:val="16"/>
              </w:rPr>
              <w:br/>
              <w:t>Длительность анализа: 1 минута.</w:t>
            </w:r>
            <w:r w:rsidRPr="006F152C">
              <w:rPr>
                <w:sz w:val="16"/>
                <w:szCs w:val="16"/>
              </w:rPr>
              <w:br/>
              <w:t xml:space="preserve">Концентрация креатинина в норме: </w:t>
            </w:r>
            <w:r w:rsidRPr="006F152C">
              <w:rPr>
                <w:sz w:val="16"/>
                <w:szCs w:val="16"/>
              </w:rPr>
              <w:br/>
              <w:t>Мужчины 0,9-1,5 мг/дл.</w:t>
            </w:r>
            <w:r w:rsidRPr="006F152C">
              <w:rPr>
                <w:sz w:val="16"/>
                <w:szCs w:val="16"/>
              </w:rPr>
              <w:br/>
              <w:t>Женщины 0,7-1,37 мг/дл.</w:t>
            </w:r>
            <w:r w:rsidRPr="006F152C">
              <w:rPr>
                <w:sz w:val="16"/>
                <w:szCs w:val="16"/>
              </w:rPr>
              <w:br/>
              <w:t>Линейность: 0,1-25,0мг/дл.</w:t>
            </w:r>
            <w:r w:rsidRPr="006F152C">
              <w:rPr>
                <w:sz w:val="16"/>
                <w:szCs w:val="16"/>
              </w:rPr>
              <w:br/>
              <w:t>Стабильность рабочего раствора: 1 месяц.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18 800,00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37 600,00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аланинаминотрансферазы (ALT или SGPT) R1, 1x100 ml + R2, 1x20 ml.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FC-200.Тип пробы: сыворотка.</w:t>
            </w:r>
            <w:r w:rsidRPr="006F152C">
              <w:rPr>
                <w:sz w:val="16"/>
                <w:szCs w:val="16"/>
              </w:rPr>
              <w:br/>
              <w:t>Метод: IFCC, кинетика.</w:t>
            </w:r>
            <w:r w:rsidRPr="006F152C">
              <w:rPr>
                <w:sz w:val="16"/>
                <w:szCs w:val="16"/>
              </w:rPr>
              <w:br/>
              <w:t>Химический состав реагента: L-Аланин 500 ммоль/л</w:t>
            </w:r>
            <w:r w:rsidRPr="006F152C">
              <w:rPr>
                <w:sz w:val="16"/>
                <w:szCs w:val="16"/>
              </w:rPr>
              <w:br/>
              <w:t>ЛДГ &gt;1200 Ед/л</w:t>
            </w:r>
            <w:r w:rsidRPr="006F152C">
              <w:rPr>
                <w:sz w:val="16"/>
                <w:szCs w:val="16"/>
              </w:rPr>
              <w:br/>
              <w:t>Трис-буфер, рН 7,5 100ммоль/л</w:t>
            </w:r>
            <w:r w:rsidRPr="006F152C">
              <w:rPr>
                <w:sz w:val="16"/>
                <w:szCs w:val="16"/>
              </w:rPr>
              <w:br/>
              <w:t>2-Оксоглутарат 15 ммоль/л</w:t>
            </w:r>
            <w:r w:rsidRPr="006F152C">
              <w:rPr>
                <w:sz w:val="16"/>
                <w:szCs w:val="16"/>
              </w:rPr>
              <w:br/>
              <w:t>NADH (Динатриевая соль) 0,18 ммоль/л</w:t>
            </w:r>
            <w:r w:rsidRPr="006F152C">
              <w:rPr>
                <w:sz w:val="16"/>
                <w:szCs w:val="16"/>
              </w:rPr>
              <w:br/>
              <w:t>Азид натрия (0,2%), стабилизаторы.</w:t>
            </w:r>
            <w:r w:rsidRPr="006F152C">
              <w:rPr>
                <w:sz w:val="16"/>
                <w:szCs w:val="16"/>
              </w:rPr>
              <w:br/>
              <w:t>Длина волны: 340.</w:t>
            </w:r>
            <w:r w:rsidRPr="006F152C">
              <w:rPr>
                <w:sz w:val="16"/>
                <w:szCs w:val="16"/>
              </w:rPr>
              <w:br/>
              <w:t>Стабильность готового раствора, суток: 14-30.</w:t>
            </w:r>
            <w:r w:rsidRPr="006F152C">
              <w:rPr>
                <w:sz w:val="16"/>
                <w:szCs w:val="16"/>
              </w:rPr>
              <w:br/>
              <w:t>Линейность: 0-500 МЕ/л.</w:t>
            </w:r>
            <w:r w:rsidRPr="006F152C">
              <w:rPr>
                <w:sz w:val="16"/>
                <w:szCs w:val="16"/>
              </w:rPr>
              <w:br/>
              <w:t>Чувствительность: 1,8 МЕ/л.</w:t>
            </w:r>
            <w:r w:rsidRPr="006F152C">
              <w:rPr>
                <w:sz w:val="16"/>
                <w:szCs w:val="16"/>
              </w:rPr>
              <w:br/>
              <w:t>Состав набора: биреагент.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17 060,00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34 120,00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Набор реагентов Кальций R1: 1 x 125ml, R2: 1 x 125ml, STD : 1 x 5ml.</w:t>
            </w:r>
            <w:r w:rsidRPr="006F152C">
              <w:rPr>
                <w:sz w:val="16"/>
                <w:szCs w:val="16"/>
              </w:rPr>
              <w:br/>
              <w:t xml:space="preserve">для биохимического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FC-200.Состав:</w:t>
            </w:r>
            <w:r w:rsidRPr="006F152C">
              <w:rPr>
                <w:sz w:val="16"/>
                <w:szCs w:val="16"/>
              </w:rPr>
              <w:br/>
              <w:t>1. Цветной реагент кальция (А): о-Крезолфталеин – 0,14 мМоль; 8-гидроксихинолин – 13 мМоль.</w:t>
            </w:r>
            <w:r w:rsidRPr="006F152C">
              <w:rPr>
                <w:sz w:val="16"/>
                <w:szCs w:val="16"/>
              </w:rPr>
              <w:br/>
              <w:t>2. Буфер: Диэтиламид – 363 мМоль, цианид калия – 2 мМоль, инертные реагенты и стабилизаторы в обоих</w:t>
            </w:r>
            <w:r w:rsidRPr="006F152C">
              <w:rPr>
                <w:sz w:val="16"/>
                <w:szCs w:val="16"/>
              </w:rPr>
              <w:br/>
              <w:t>реагентах: А и В.</w:t>
            </w:r>
            <w:r w:rsidRPr="006F152C">
              <w:rPr>
                <w:sz w:val="16"/>
                <w:szCs w:val="16"/>
              </w:rPr>
              <w:br/>
              <w:t>3. Стандарт кальция: Хлорид кальция (2,5 мМоль/л).</w:t>
            </w:r>
            <w:r w:rsidRPr="006F152C">
              <w:rPr>
                <w:sz w:val="16"/>
                <w:szCs w:val="16"/>
              </w:rPr>
              <w:br/>
              <w:t>Хранение реагента</w:t>
            </w:r>
            <w:r w:rsidRPr="006F152C">
              <w:rPr>
                <w:sz w:val="16"/>
                <w:szCs w:val="16"/>
              </w:rPr>
              <w:br/>
              <w:t>1. Все реагенты хранятся при комнатной температуре (15-30ºС).</w:t>
            </w:r>
            <w:r w:rsidRPr="006F152C">
              <w:rPr>
                <w:sz w:val="16"/>
                <w:szCs w:val="16"/>
              </w:rPr>
              <w:br/>
              <w:t xml:space="preserve">2. Смешанный реагент (А и В) стабилен в течение двух(2) недель в холодильнике и одну(1) неделю при </w:t>
            </w:r>
            <w:r w:rsidRPr="006F152C">
              <w:rPr>
                <w:sz w:val="16"/>
                <w:szCs w:val="16"/>
              </w:rPr>
              <w:lastRenderedPageBreak/>
              <w:t>комнатной температуре.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производителем.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lastRenderedPageBreak/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15 180,00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15 180,00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Общий Белок 1x125 мл 1х5 мл стандарт общего белка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для биохимического автоматического анализатора BioChem FC-200.Метод: Биуретовый, конечная точка</w:t>
            </w:r>
            <w:r w:rsidRPr="006F152C">
              <w:rPr>
                <w:sz w:val="16"/>
                <w:szCs w:val="16"/>
              </w:rPr>
              <w:br/>
              <w:t xml:space="preserve">Состав основного реагента: </w:t>
            </w:r>
            <w:r w:rsidRPr="006F152C">
              <w:rPr>
                <w:sz w:val="16"/>
                <w:szCs w:val="16"/>
              </w:rPr>
              <w:br/>
              <w:t xml:space="preserve">Гидроксид натрия 600 ммоль/л, </w:t>
            </w:r>
            <w:r w:rsidRPr="006F152C">
              <w:rPr>
                <w:sz w:val="16"/>
                <w:szCs w:val="16"/>
              </w:rPr>
              <w:br/>
              <w:t xml:space="preserve">Сульфат меди 12 ммоль/л, </w:t>
            </w:r>
            <w:r w:rsidRPr="006F152C">
              <w:rPr>
                <w:sz w:val="16"/>
                <w:szCs w:val="16"/>
              </w:rPr>
              <w:br/>
              <w:t xml:space="preserve">Тартрат натрия-калия 32 ммоль/л, </w:t>
            </w:r>
            <w:r w:rsidRPr="006F152C">
              <w:rPr>
                <w:sz w:val="16"/>
                <w:szCs w:val="16"/>
              </w:rPr>
              <w:br/>
              <w:t>Йодид калия 30 ммоль/л.</w:t>
            </w:r>
            <w:r w:rsidRPr="006F152C">
              <w:rPr>
                <w:sz w:val="16"/>
                <w:szCs w:val="16"/>
              </w:rPr>
              <w:br/>
              <w:t>Длина волны: 540 нм</w:t>
            </w:r>
            <w:r w:rsidRPr="006F152C">
              <w:rPr>
                <w:sz w:val="16"/>
                <w:szCs w:val="16"/>
              </w:rPr>
              <w:br/>
              <w:t>Длительность анализа: 5 минут</w:t>
            </w:r>
            <w:r w:rsidRPr="006F152C">
              <w:rPr>
                <w:sz w:val="16"/>
                <w:szCs w:val="16"/>
              </w:rPr>
              <w:br/>
              <w:t>Концентрация общего белка в норме: 6,2 - 8,5 г/дл</w:t>
            </w:r>
            <w:r w:rsidRPr="006F152C">
              <w:rPr>
                <w:sz w:val="16"/>
                <w:szCs w:val="16"/>
              </w:rPr>
              <w:br/>
              <w:t>Линейность: 1-15,0 г/дл</w:t>
            </w:r>
            <w:r w:rsidRPr="006F152C">
              <w:rPr>
                <w:sz w:val="16"/>
                <w:szCs w:val="16"/>
              </w:rPr>
              <w:br/>
              <w:t>Фасовка:</w:t>
            </w:r>
            <w:r w:rsidRPr="006F152C">
              <w:rPr>
                <w:sz w:val="16"/>
                <w:szCs w:val="16"/>
              </w:rPr>
              <w:br/>
              <w:t>1x125 мл</w:t>
            </w:r>
            <w:r w:rsidRPr="006F152C">
              <w:rPr>
                <w:sz w:val="16"/>
                <w:szCs w:val="16"/>
              </w:rPr>
              <w:br/>
              <w:t>1х5 мл стандарт общего белка</w:t>
            </w:r>
            <w:r w:rsidRPr="006F152C">
              <w:rPr>
                <w:sz w:val="16"/>
                <w:szCs w:val="16"/>
              </w:rPr>
              <w:br/>
              <w:t>Контроли и реагенты одного производителя.</w:t>
            </w:r>
            <w:r w:rsidRPr="006F152C">
              <w:rPr>
                <w:sz w:val="16"/>
                <w:szCs w:val="16"/>
              </w:rPr>
              <w:br/>
              <w:t xml:space="preserve">Реагенты предразведенные, готовые к использованию. </w:t>
            </w:r>
            <w:r w:rsidRPr="006F152C">
              <w:rPr>
                <w:sz w:val="16"/>
                <w:szCs w:val="16"/>
              </w:rPr>
              <w:br/>
              <w:t>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>После проведения анализа необходимые наборы реагентов контроля в том числе: набор реагентов биохимического контроля Level 1*5 мл, Level 2*5мл, набор реагентов Биохимический мультикалибратор 1*5 мл, изготовлены одним производителем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19 620,00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39 240,00</w:t>
            </w:r>
          </w:p>
        </w:tc>
      </w:tr>
      <w:tr w:rsidR="006F152C" w:rsidRPr="00B129CB" w:rsidTr="00BC171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6F152C" w:rsidRDefault="006F15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Набор реагент Альбумин (со стандартом) 1х125мл+1х5мл стандарт альбумина.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6F152C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для биохимического автоматического анализатора BioChem FC-200Метод: Бромкрезоловый зеленый, конечная точкаСостав основного реагента: </w:t>
            </w:r>
            <w:r w:rsidRPr="006F152C">
              <w:rPr>
                <w:sz w:val="16"/>
                <w:szCs w:val="16"/>
              </w:rPr>
              <w:br/>
              <w:t>1. Бром крезоловый зеленый (BCG) - 0,25 мМ буфер, рН 4,0+0,1;</w:t>
            </w:r>
            <w:r w:rsidRPr="006F152C">
              <w:rPr>
                <w:sz w:val="16"/>
                <w:szCs w:val="16"/>
              </w:rPr>
              <w:br/>
              <w:t>сурфактант, инертные ингредиенты и стабилизаторы.</w:t>
            </w:r>
            <w:r w:rsidRPr="006F152C">
              <w:rPr>
                <w:sz w:val="16"/>
                <w:szCs w:val="16"/>
              </w:rPr>
              <w:br/>
              <w:t>2. Стандарт: Бычий сывороточный альбумин Фракция V со</w:t>
            </w:r>
            <w:r w:rsidRPr="006F152C">
              <w:rPr>
                <w:sz w:val="16"/>
                <w:szCs w:val="16"/>
              </w:rPr>
              <w:br/>
              <w:t>стабилизатором (5 г/дл).</w:t>
            </w:r>
            <w:r w:rsidRPr="006F152C">
              <w:rPr>
                <w:sz w:val="16"/>
                <w:szCs w:val="16"/>
              </w:rPr>
              <w:br/>
              <w:t>Длина волны: 630 нм</w:t>
            </w:r>
            <w:r w:rsidRPr="006F152C">
              <w:rPr>
                <w:sz w:val="16"/>
                <w:szCs w:val="16"/>
              </w:rPr>
              <w:br/>
              <w:t>Длительность анализа: 5 минут</w:t>
            </w:r>
            <w:r w:rsidRPr="006F152C">
              <w:rPr>
                <w:sz w:val="16"/>
                <w:szCs w:val="16"/>
              </w:rPr>
              <w:br/>
              <w:t>Стабильность: реагент при комнатной температуре, стандарт при температуре 2-8 °С</w:t>
            </w:r>
            <w:r w:rsidRPr="006F152C">
              <w:rPr>
                <w:sz w:val="16"/>
                <w:szCs w:val="16"/>
              </w:rPr>
              <w:br/>
              <w:t>Концентрация альбумина в норме: 3,5 - 5,3 г/дл</w:t>
            </w:r>
            <w:r w:rsidRPr="006F152C">
              <w:rPr>
                <w:sz w:val="16"/>
                <w:szCs w:val="16"/>
              </w:rPr>
              <w:br/>
              <w:t>Линейность: 0,5 - 8,0 г/дл</w:t>
            </w:r>
            <w:r w:rsidRPr="006F152C">
              <w:rPr>
                <w:sz w:val="16"/>
                <w:szCs w:val="16"/>
              </w:rPr>
              <w:br/>
              <w:t>Фасовка:</w:t>
            </w:r>
            <w:r w:rsidRPr="006F152C">
              <w:rPr>
                <w:sz w:val="16"/>
                <w:szCs w:val="16"/>
              </w:rPr>
              <w:br/>
              <w:t>1x125 мл</w:t>
            </w:r>
            <w:r w:rsidRPr="006F152C">
              <w:rPr>
                <w:sz w:val="16"/>
                <w:szCs w:val="16"/>
              </w:rPr>
              <w:br/>
              <w:t>1х5 мл стандарт альбумина</w:t>
            </w:r>
            <w:r w:rsidRPr="006F152C">
              <w:rPr>
                <w:sz w:val="16"/>
                <w:szCs w:val="16"/>
              </w:rPr>
              <w:br/>
              <w:t>Контроли и реагенты одного производителя.Срок стабильности после вскрытия 14-30 дней.</w:t>
            </w:r>
            <w:r w:rsidRPr="006F152C">
              <w:rPr>
                <w:sz w:val="16"/>
                <w:szCs w:val="16"/>
              </w:rPr>
              <w:br/>
              <w:t>Реагенты предразведенные, готовые к использованию. изготовлены одним производителем</w:t>
            </w:r>
          </w:p>
          <w:p w:rsidR="006F152C" w:rsidRPr="006F152C" w:rsidRDefault="006F152C" w:rsidP="006F152C">
            <w:pPr>
              <w:pStyle w:val="a3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</w:rPr>
            </w:pPr>
            <w:r w:rsidRPr="0053078E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18 870,00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AE1884" w:rsidRDefault="006F152C" w:rsidP="00A81F3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53078E">
              <w:rPr>
                <w:bCs/>
                <w:sz w:val="16"/>
                <w:szCs w:val="16"/>
                <w:lang w:eastAsia="ar-SA"/>
              </w:rPr>
              <w:t>18 870,00</w:t>
            </w:r>
          </w:p>
        </w:tc>
      </w:tr>
      <w:tr w:rsidR="006F152C" w:rsidRPr="00B129CB" w:rsidTr="00B93FE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B129CB" w:rsidRDefault="006F152C" w:rsidP="006310B3">
            <w:pPr>
              <w:pStyle w:val="a3"/>
              <w:spacing w:before="0" w:beforeAutospacing="0" w:after="0" w:afterAutospacing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B129CB" w:rsidRDefault="006F152C" w:rsidP="00F81B39">
            <w:pPr>
              <w:pStyle w:val="a3"/>
            </w:pPr>
            <w:r w:rsidRPr="00B129CB">
              <w:rPr>
                <w:sz w:val="22"/>
                <w:szCs w:val="22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52C" w:rsidRPr="00B129CB" w:rsidRDefault="006F152C" w:rsidP="00F81B39">
            <w:pPr>
              <w:pStyle w:val="a3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B129CB" w:rsidRDefault="006F152C" w:rsidP="00F81B39">
            <w:pPr>
              <w:pStyle w:val="a3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B129CB" w:rsidRDefault="006F152C" w:rsidP="00F81B39">
            <w:pPr>
              <w:pStyle w:val="a3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B129CB" w:rsidRDefault="006F152C" w:rsidP="00F81B39">
            <w:pPr>
              <w:pStyle w:val="a3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52C" w:rsidRPr="006F152C" w:rsidRDefault="006F152C" w:rsidP="00B129CB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577 230,00</w:t>
            </w:r>
          </w:p>
        </w:tc>
      </w:tr>
    </w:tbl>
    <w:p w:rsidR="00F81B39" w:rsidRPr="00B129CB" w:rsidRDefault="00F81B39" w:rsidP="00B31443">
      <w:pPr>
        <w:pStyle w:val="a7"/>
        <w:ind w:left="0"/>
        <w:rPr>
          <w:bCs/>
          <w:color w:val="000000"/>
          <w:sz w:val="20"/>
          <w:szCs w:val="20"/>
        </w:rPr>
      </w:pP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F152C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B61953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</w:t>
      </w:r>
      <w:proofErr w:type="spellEnd"/>
      <w:r w:rsidR="006F152C">
        <w:rPr>
          <w:sz w:val="28"/>
          <w:szCs w:val="28"/>
          <w:lang w:val="en-US"/>
        </w:rPr>
        <w:t>d</w:t>
      </w:r>
      <w:r w:rsidR="006F152C" w:rsidRPr="006F152C">
        <w:rPr>
          <w:sz w:val="28"/>
          <w:szCs w:val="28"/>
        </w:rPr>
        <w:t xml:space="preserve"> </w:t>
      </w:r>
      <w:r w:rsidR="006F152C">
        <w:rPr>
          <w:sz w:val="28"/>
          <w:szCs w:val="28"/>
          <w:lang w:val="en-US"/>
        </w:rPr>
        <w:t>SK</w:t>
      </w:r>
      <w:r w:rsidR="006F152C" w:rsidRPr="006F152C">
        <w:rPr>
          <w:sz w:val="28"/>
          <w:szCs w:val="28"/>
        </w:rPr>
        <w:t>-</w:t>
      </w:r>
      <w:r w:rsidR="006F152C">
        <w:rPr>
          <w:sz w:val="28"/>
          <w:szCs w:val="28"/>
          <w:lang w:val="en-US"/>
        </w:rPr>
        <w:t>PV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</w:t>
      </w:r>
      <w:r w:rsidR="00F32290" w:rsidRPr="00B61953">
        <w:rPr>
          <w:color w:val="000000"/>
          <w:sz w:val="28"/>
          <w:szCs w:val="28"/>
        </w:rPr>
        <w:t>:</w:t>
      </w:r>
      <w:r w:rsidR="00B61953">
        <w:rPr>
          <w:color w:val="000000"/>
          <w:sz w:val="28"/>
          <w:szCs w:val="28"/>
        </w:rPr>
        <w:t>150</w:t>
      </w:r>
      <w:r w:rsidR="00F32290" w:rsidRPr="00B61953">
        <w:rPr>
          <w:sz w:val="28"/>
          <w:szCs w:val="28"/>
        </w:rPr>
        <w:t xml:space="preserve"> 000, Республика Казахстан,  </w:t>
      </w:r>
      <w:r w:rsidR="00B61953">
        <w:rPr>
          <w:sz w:val="28"/>
          <w:szCs w:val="28"/>
        </w:rPr>
        <w:t>Северо-Казахстанская область,</w:t>
      </w:r>
      <w:r w:rsidR="00F32290" w:rsidRPr="00B61953">
        <w:rPr>
          <w:sz w:val="28"/>
          <w:szCs w:val="28"/>
        </w:rPr>
        <w:t xml:space="preserve"> </w:t>
      </w:r>
      <w:r w:rsidR="00B61953">
        <w:rPr>
          <w:sz w:val="28"/>
          <w:szCs w:val="28"/>
        </w:rPr>
        <w:t>г. Петропавловск</w:t>
      </w:r>
      <w:r w:rsidR="00F32290" w:rsidRPr="00B61953">
        <w:rPr>
          <w:sz w:val="28"/>
          <w:szCs w:val="28"/>
        </w:rPr>
        <w:t xml:space="preserve">, ул. </w:t>
      </w:r>
      <w:r w:rsidR="00B61953">
        <w:rPr>
          <w:sz w:val="28"/>
          <w:szCs w:val="28"/>
          <w:lang w:val="kk-KZ"/>
        </w:rPr>
        <w:t>Нұрсұлтан Назарбаев</w:t>
      </w:r>
      <w:r w:rsidR="00B61953">
        <w:rPr>
          <w:sz w:val="28"/>
          <w:szCs w:val="28"/>
        </w:rPr>
        <w:t xml:space="preserve">, дом </w:t>
      </w:r>
      <w:r w:rsidR="00B61953">
        <w:rPr>
          <w:sz w:val="28"/>
          <w:szCs w:val="28"/>
          <w:lang w:val="kk-KZ"/>
        </w:rPr>
        <w:t>103А</w:t>
      </w:r>
      <w:r w:rsidR="00F32290" w:rsidRPr="00B61953">
        <w:rPr>
          <w:sz w:val="28"/>
          <w:szCs w:val="28"/>
        </w:rPr>
        <w:t>.</w:t>
      </w:r>
    </w:p>
    <w:p w:rsidR="00EA1E9D" w:rsidRPr="00EA1E9D" w:rsidRDefault="00B61953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П</w:t>
      </w:r>
      <w:r w:rsidR="00F32290" w:rsidRPr="00B61953">
        <w:rPr>
          <w:caps w:val="0"/>
          <w:color w:val="000000"/>
          <w:sz w:val="28"/>
          <w:szCs w:val="28"/>
        </w:rPr>
        <w:t xml:space="preserve">ри соответствии победителя квалификационным требованиям заключить с ним договор закупа на сумму </w:t>
      </w:r>
      <w:r>
        <w:rPr>
          <w:caps w:val="0"/>
          <w:color w:val="000000"/>
          <w:sz w:val="28"/>
          <w:szCs w:val="28"/>
        </w:rPr>
        <w:t>577 230</w:t>
      </w:r>
      <w:r w:rsidR="00F32290" w:rsidRPr="00B61953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="00EA1E9D" w:rsidRPr="00B61953">
        <w:rPr>
          <w:caps w:val="0"/>
          <w:color w:val="000000"/>
          <w:sz w:val="28"/>
          <w:szCs w:val="28"/>
        </w:rPr>
        <w:t>0</w:t>
      </w:r>
      <w:r w:rsidR="00F32290" w:rsidRPr="00B61953">
        <w:rPr>
          <w:caps w:val="0"/>
          <w:color w:val="000000"/>
          <w:sz w:val="28"/>
          <w:szCs w:val="28"/>
        </w:rPr>
        <w:t xml:space="preserve"> </w:t>
      </w:r>
      <w:proofErr w:type="spellStart"/>
      <w:r w:rsidR="00F32290" w:rsidRPr="00B61953">
        <w:rPr>
          <w:caps w:val="0"/>
          <w:color w:val="000000"/>
          <w:sz w:val="28"/>
          <w:szCs w:val="28"/>
        </w:rPr>
        <w:t>тиын</w:t>
      </w:r>
      <w:proofErr w:type="spellEnd"/>
      <w:r w:rsidR="00F32290" w:rsidRPr="00B61953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>пятьсот семьдесят семь</w:t>
      </w:r>
      <w:r w:rsidR="00F32290" w:rsidRPr="00B61953">
        <w:rPr>
          <w:caps w:val="0"/>
          <w:color w:val="000000"/>
          <w:sz w:val="28"/>
          <w:szCs w:val="28"/>
        </w:rPr>
        <w:t xml:space="preserve"> тысяч</w:t>
      </w:r>
      <w:r w:rsidR="00B93FEA" w:rsidRPr="00B61953">
        <w:rPr>
          <w:caps w:val="0"/>
          <w:color w:val="000000"/>
          <w:sz w:val="28"/>
          <w:szCs w:val="28"/>
        </w:rPr>
        <w:t xml:space="preserve"> д</w:t>
      </w:r>
      <w:r>
        <w:rPr>
          <w:caps w:val="0"/>
          <w:color w:val="000000"/>
          <w:sz w:val="28"/>
          <w:szCs w:val="28"/>
        </w:rPr>
        <w:t>вести тридцать</w:t>
      </w:r>
      <w:r w:rsidR="0097415D" w:rsidRPr="00B61953">
        <w:rPr>
          <w:caps w:val="0"/>
          <w:color w:val="000000"/>
          <w:sz w:val="28"/>
          <w:szCs w:val="28"/>
        </w:rPr>
        <w:t xml:space="preserve"> </w:t>
      </w:r>
      <w:r w:rsidR="00F32290" w:rsidRPr="00B61953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="00EA1E9D" w:rsidRPr="00B61953">
        <w:rPr>
          <w:caps w:val="0"/>
          <w:color w:val="000000"/>
          <w:sz w:val="28"/>
          <w:szCs w:val="28"/>
        </w:rPr>
        <w:t>0</w:t>
      </w:r>
      <w:r w:rsidR="00F32290" w:rsidRPr="00B61953">
        <w:rPr>
          <w:caps w:val="0"/>
          <w:color w:val="000000"/>
          <w:sz w:val="28"/>
          <w:szCs w:val="28"/>
        </w:rPr>
        <w:t xml:space="preserve"> </w:t>
      </w:r>
      <w:proofErr w:type="spellStart"/>
      <w:r w:rsidR="00F32290" w:rsidRPr="00B61953">
        <w:rPr>
          <w:caps w:val="0"/>
          <w:color w:val="000000"/>
          <w:sz w:val="28"/>
          <w:szCs w:val="28"/>
        </w:rPr>
        <w:t>тиын</w:t>
      </w:r>
      <w:proofErr w:type="spellEnd"/>
      <w:r w:rsidR="00F32290" w:rsidRPr="00B61953">
        <w:rPr>
          <w:caps w:val="0"/>
          <w:color w:val="000000"/>
          <w:sz w:val="28"/>
          <w:szCs w:val="28"/>
        </w:rPr>
        <w:t>.</w:t>
      </w:r>
      <w:r w:rsidR="00F32290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B61953" w:rsidRDefault="00B61953" w:rsidP="00B61953">
      <w:pPr>
        <w:pStyle w:val="a3"/>
        <w:spacing w:before="0" w:beforeAutospacing="0" w:after="0" w:afterAutospacing="0"/>
        <w:rPr>
          <w:sz w:val="28"/>
          <w:szCs w:val="28"/>
        </w:rPr>
      </w:pPr>
      <w:r w:rsidRPr="00B61953">
        <w:rPr>
          <w:sz w:val="28"/>
          <w:szCs w:val="28"/>
        </w:rPr>
        <w:t xml:space="preserve">4.Предоставленные документы </w:t>
      </w:r>
      <w:r>
        <w:rPr>
          <w:sz w:val="28"/>
          <w:szCs w:val="28"/>
        </w:rPr>
        <w:t xml:space="preserve">потенциального поставщика </w:t>
      </w:r>
      <w:r w:rsidRPr="00B61953">
        <w:rPr>
          <w:sz w:val="28"/>
          <w:szCs w:val="28"/>
        </w:rPr>
        <w:t>соответствуют требованиям,</w:t>
      </w:r>
      <w:r>
        <w:rPr>
          <w:sz w:val="28"/>
          <w:szCs w:val="28"/>
        </w:rPr>
        <w:t xml:space="preserve"> </w:t>
      </w:r>
      <w:r w:rsidRPr="00B61953">
        <w:rPr>
          <w:sz w:val="28"/>
          <w:szCs w:val="28"/>
        </w:rPr>
        <w:t>установленным главами 3 и 4 настоящих Правил.</w:t>
      </w:r>
      <w:r w:rsidR="008A44F2" w:rsidRPr="00B61953">
        <w:rPr>
          <w:sz w:val="28"/>
          <w:szCs w:val="28"/>
        </w:rPr>
        <w:tab/>
      </w:r>
    </w:p>
    <w:p w:rsidR="00334416" w:rsidRPr="00B61953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B61953">
        <w:rPr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B93FEA" w:rsidP="00E46BC4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И.о. директора </w:t>
      </w:r>
      <w:proofErr w:type="spellStart"/>
      <w:r>
        <w:rPr>
          <w:color w:val="000000"/>
          <w:sz w:val="28"/>
          <w:szCs w:val="28"/>
        </w:rPr>
        <w:t>___________</w:t>
      </w:r>
      <w:r w:rsidR="00B129CB">
        <w:rPr>
          <w:color w:val="000000"/>
          <w:sz w:val="28"/>
          <w:szCs w:val="28"/>
        </w:rPr>
        <w:t>Сагандыкова</w:t>
      </w:r>
      <w:proofErr w:type="spellEnd"/>
      <w:r w:rsidR="00B129CB">
        <w:rPr>
          <w:color w:val="000000"/>
          <w:sz w:val="28"/>
          <w:szCs w:val="28"/>
        </w:rPr>
        <w:t xml:space="preserve"> Г.Т.</w:t>
      </w:r>
      <w:r w:rsidR="00E46BC4">
        <w:rPr>
          <w:color w:val="000000"/>
          <w:sz w:val="28"/>
          <w:szCs w:val="28"/>
        </w:rPr>
        <w:t xml:space="preserve"> </w:t>
      </w:r>
      <w:r w:rsidR="00334416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lastRenderedPageBreak/>
        <w:t>Члены комиссии</w:t>
      </w:r>
    </w:p>
    <w:p w:rsidR="00E46BC4" w:rsidRDefault="00B61953" w:rsidP="00E46BC4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Старший лаборант</w:t>
      </w:r>
      <w:r w:rsidR="00E46BC4">
        <w:rPr>
          <w:caps w:val="0"/>
          <w:sz w:val="28"/>
          <w:szCs w:val="28"/>
        </w:rPr>
        <w:t xml:space="preserve"> _________ </w:t>
      </w:r>
      <w:r w:rsidR="00B93FEA">
        <w:rPr>
          <w:caps w:val="0"/>
          <w:sz w:val="28"/>
          <w:szCs w:val="28"/>
        </w:rPr>
        <w:t xml:space="preserve"> </w:t>
      </w:r>
      <w:proofErr w:type="spellStart"/>
      <w:r w:rsidR="00B93FEA">
        <w:rPr>
          <w:caps w:val="0"/>
          <w:sz w:val="28"/>
          <w:szCs w:val="28"/>
        </w:rPr>
        <w:t>К</w:t>
      </w:r>
      <w:r>
        <w:rPr>
          <w:caps w:val="0"/>
          <w:sz w:val="28"/>
          <w:szCs w:val="28"/>
        </w:rPr>
        <w:t>васиборская</w:t>
      </w:r>
      <w:proofErr w:type="spellEnd"/>
      <w:r>
        <w:rPr>
          <w:caps w:val="0"/>
          <w:sz w:val="28"/>
          <w:szCs w:val="28"/>
        </w:rPr>
        <w:t xml:space="preserve"> Л</w:t>
      </w:r>
      <w:r w:rsidR="00B93FEA">
        <w:rPr>
          <w:caps w:val="0"/>
          <w:sz w:val="28"/>
          <w:szCs w:val="28"/>
        </w:rPr>
        <w:t>.</w:t>
      </w:r>
      <w:r>
        <w:rPr>
          <w:caps w:val="0"/>
          <w:sz w:val="28"/>
          <w:szCs w:val="28"/>
        </w:rPr>
        <w:t>Г.</w:t>
      </w:r>
    </w:p>
    <w:p w:rsidR="00AF6340" w:rsidRDefault="00AF6340" w:rsidP="00E46BC4">
      <w:pPr>
        <w:rPr>
          <w:sz w:val="28"/>
          <w:szCs w:val="28"/>
        </w:rPr>
      </w:pPr>
    </w:p>
    <w:p w:rsidR="00B93FEA" w:rsidRDefault="00B93FEA" w:rsidP="00B93FEA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Заведующая  аптекой</w:t>
      </w:r>
      <w:r w:rsidRPr="00B93FEA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_________ Дубровская Т.А.</w:t>
      </w:r>
    </w:p>
    <w:p w:rsidR="00B93FEA" w:rsidRDefault="00B93FEA" w:rsidP="00B93FEA">
      <w:pPr>
        <w:rPr>
          <w:caps w:val="0"/>
          <w:sz w:val="28"/>
          <w:szCs w:val="28"/>
        </w:rPr>
      </w:pP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B93FEA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 xml:space="preserve">Инспектор по государственным закупкам </w:t>
      </w:r>
      <w:proofErr w:type="spellStart"/>
      <w:r>
        <w:rPr>
          <w:caps w:val="0"/>
          <w:sz w:val="28"/>
          <w:szCs w:val="28"/>
        </w:rPr>
        <w:t>________Глушко</w:t>
      </w:r>
      <w:proofErr w:type="spellEnd"/>
      <w:r>
        <w:rPr>
          <w:caps w:val="0"/>
          <w:sz w:val="28"/>
          <w:szCs w:val="28"/>
        </w:rPr>
        <w:t xml:space="preserve"> Е.А. </w:t>
      </w:r>
    </w:p>
    <w:p w:rsidR="006F152C" w:rsidRPr="00E46BC4" w:rsidRDefault="006F152C">
      <w:pPr>
        <w:rPr>
          <w:caps w:val="0"/>
          <w:sz w:val="28"/>
          <w:szCs w:val="28"/>
        </w:rPr>
      </w:pPr>
    </w:p>
    <w:sectPr w:rsidR="006F152C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A75B6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F3B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3111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6F152C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7286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15D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A7C47"/>
    <w:rsid w:val="009B1915"/>
    <w:rsid w:val="009B5C53"/>
    <w:rsid w:val="009B7005"/>
    <w:rsid w:val="009C22CC"/>
    <w:rsid w:val="009C240D"/>
    <w:rsid w:val="009C2CB7"/>
    <w:rsid w:val="009C3732"/>
    <w:rsid w:val="009D487D"/>
    <w:rsid w:val="009D4F8E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29CB"/>
    <w:rsid w:val="00B149DF"/>
    <w:rsid w:val="00B307A2"/>
    <w:rsid w:val="00B31443"/>
    <w:rsid w:val="00B43792"/>
    <w:rsid w:val="00B52C2D"/>
    <w:rsid w:val="00B53BEC"/>
    <w:rsid w:val="00B53DEE"/>
    <w:rsid w:val="00B57650"/>
    <w:rsid w:val="00B6017B"/>
    <w:rsid w:val="00B61953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3FEA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2E1B2-7BA2-414D-8A96-04CE6D66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1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348</cp:revision>
  <cp:lastPrinted>2021-10-14T09:42:00Z</cp:lastPrinted>
  <dcterms:created xsi:type="dcterms:W3CDTF">2017-12-06T09:39:00Z</dcterms:created>
  <dcterms:modified xsi:type="dcterms:W3CDTF">2021-10-14T09:44:00Z</dcterms:modified>
</cp:coreProperties>
</file>